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65" w:rsidRPr="007C694B" w:rsidRDefault="003E4465" w:rsidP="003E4465">
      <w:pPr>
        <w:spacing w:after="24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1382"/>
        <w:gridCol w:w="3703"/>
      </w:tblGrid>
      <w:tr w:rsidR="003E4465" w:rsidRPr="007C694B" w:rsidTr="00F06659">
        <w:trPr>
          <w:tblCellSpacing w:w="15" w:type="dxa"/>
        </w:trPr>
        <w:tc>
          <w:tcPr>
            <w:tcW w:w="0" w:type="auto"/>
            <w:shd w:val="clear" w:color="auto" w:fill="990000"/>
            <w:vAlign w:val="center"/>
            <w:hideMark/>
          </w:tcPr>
          <w:p w:rsidR="003E4465" w:rsidRPr="007C694B" w:rsidRDefault="003E4465" w:rsidP="003E4465">
            <w:pPr>
              <w:spacing w:after="0"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lévofloxacine </w:t>
            </w:r>
          </w:p>
        </w:tc>
        <w:tc>
          <w:tcPr>
            <w:tcW w:w="0" w:type="auto"/>
            <w:vAlign w:val="center"/>
            <w:hideMark/>
          </w:tcPr>
          <w:p w:rsidR="003E4465" w:rsidRPr="007C694B" w:rsidRDefault="003E4465" w:rsidP="00F06659">
            <w:pPr>
              <w:spacing w:after="0" w:line="240" w:lineRule="auto"/>
              <w:rPr>
                <w:rFonts w:ascii="Times New Roman" w:eastAsia="Times New Roman" w:hAnsi="Times New Roman" w:cs="Times New Roman"/>
                <w:color w:val="000000"/>
                <w:sz w:val="24"/>
                <w:szCs w:val="24"/>
                <w:lang w:eastAsia="fr-FR"/>
              </w:rPr>
            </w:pPr>
            <w:r w:rsidRPr="007C694B">
              <w:rPr>
                <w:rFonts w:ascii="Verdana" w:eastAsia="Times New Roman" w:hAnsi="Verdana" w:cs="Times New Roman"/>
                <w:b/>
                <w:bCs/>
                <w:color w:val="990000"/>
                <w:sz w:val="24"/>
                <w:szCs w:val="24"/>
                <w:lang w:eastAsia="fr-FR"/>
              </w:rPr>
              <w:t>PHARMACODYNAMIE</w:t>
            </w:r>
            <w:r w:rsidRPr="007C694B">
              <w:rPr>
                <w:rFonts w:ascii="Times New Roman" w:eastAsia="Times New Roman" w:hAnsi="Times New Roman" w:cs="Times New Roman"/>
                <w:color w:val="000000"/>
                <w:sz w:val="24"/>
                <w:szCs w:val="24"/>
                <w:lang w:eastAsia="fr-FR"/>
              </w:rPr>
              <w:t> </w:t>
            </w:r>
            <w:hyperlink w:anchor="pub" w:history="1">
              <w:r w:rsidRPr="007C694B">
                <w:rPr>
                  <w:rFonts w:ascii="Arial" w:eastAsia="Times New Roman" w:hAnsi="Arial" w:cs="Arial"/>
                  <w:color w:val="0000FF"/>
                  <w:sz w:val="20"/>
                  <w:u w:val="single"/>
                  <w:vertAlign w:val="superscript"/>
                  <w:lang w:eastAsia="fr-FR"/>
                </w:rPr>
                <w:t>(début page)</w:t>
              </w:r>
            </w:hyperlink>
            <w:r w:rsidRPr="007C694B">
              <w:rPr>
                <w:rFonts w:ascii="Times New Roman" w:eastAsia="Times New Roman" w:hAnsi="Times New Roman" w:cs="Times New Roman"/>
                <w:color w:val="000000"/>
                <w:sz w:val="24"/>
                <w:szCs w:val="24"/>
                <w:lang w:eastAsia="fr-FR"/>
              </w:rPr>
              <w:t xml:space="preserve"> </w:t>
            </w:r>
          </w:p>
        </w:tc>
      </w:tr>
    </w:tbl>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bookmarkStart w:id="0" w:name="Rcp_5_1_PropPharmacodynamie_8"/>
      <w:bookmarkEnd w:id="0"/>
      <w:r w:rsidRPr="007C694B">
        <w:rPr>
          <w:rFonts w:ascii="Times New Roman" w:eastAsia="Times New Roman" w:hAnsi="Times New Roman" w:cs="Times New Roman"/>
          <w:b/>
          <w:bCs/>
          <w:color w:val="000000"/>
          <w:sz w:val="24"/>
          <w:szCs w:val="24"/>
          <w:lang w:eastAsia="fr-FR"/>
        </w:rPr>
        <w:t xml:space="preserve">Classe </w:t>
      </w:r>
      <w:proofErr w:type="spellStart"/>
      <w:r w:rsidRPr="007C694B">
        <w:rPr>
          <w:rFonts w:ascii="Times New Roman" w:eastAsia="Times New Roman" w:hAnsi="Times New Roman" w:cs="Times New Roman"/>
          <w:b/>
          <w:bCs/>
          <w:color w:val="000000"/>
          <w:sz w:val="24"/>
          <w:szCs w:val="24"/>
          <w:lang w:eastAsia="fr-FR"/>
        </w:rPr>
        <w:t>pharmacothérapeutique</w:t>
      </w:r>
      <w:proofErr w:type="spellEnd"/>
      <w:r w:rsidRPr="007C694B">
        <w:rPr>
          <w:rFonts w:ascii="Times New Roman" w:eastAsia="Times New Roman" w:hAnsi="Times New Roman" w:cs="Times New Roman"/>
          <w:b/>
          <w:bCs/>
          <w:color w:val="000000"/>
          <w:sz w:val="24"/>
          <w:szCs w:val="24"/>
          <w:lang w:eastAsia="fr-FR"/>
        </w:rPr>
        <w:t>: Anti-infectieux à usage systémique</w:t>
      </w:r>
      <w:r w:rsidRPr="007C694B">
        <w:rPr>
          <w:rFonts w:ascii="Times New Roman" w:eastAsia="Times New Roman" w:hAnsi="Times New Roman" w:cs="Times New Roman"/>
          <w:color w:val="000000"/>
          <w:sz w:val="24"/>
          <w:szCs w:val="24"/>
          <w:lang w:eastAsia="fr-FR"/>
        </w:rPr>
        <w:t xml:space="preserve"> - </w:t>
      </w:r>
      <w:r w:rsidRPr="007C694B">
        <w:rPr>
          <w:rFonts w:ascii="Times New Roman" w:eastAsia="Times New Roman" w:hAnsi="Times New Roman" w:cs="Times New Roman"/>
          <w:b/>
          <w:bCs/>
          <w:color w:val="000000"/>
          <w:sz w:val="24"/>
          <w:szCs w:val="24"/>
          <w:lang w:eastAsia="fr-FR"/>
        </w:rPr>
        <w:t>antibactériens à usage systémique</w:t>
      </w:r>
      <w:r w:rsidRPr="007C694B">
        <w:rPr>
          <w:rFonts w:ascii="Times New Roman" w:eastAsia="Times New Roman" w:hAnsi="Times New Roman" w:cs="Times New Roman"/>
          <w:color w:val="000000"/>
          <w:sz w:val="24"/>
          <w:szCs w:val="24"/>
          <w:lang w:eastAsia="fr-FR"/>
        </w:rPr>
        <w:t xml:space="preserve"> - </w:t>
      </w:r>
      <w:proofErr w:type="spellStart"/>
      <w:r w:rsidRPr="007C694B">
        <w:rPr>
          <w:rFonts w:ascii="Times New Roman" w:eastAsia="Times New Roman" w:hAnsi="Times New Roman" w:cs="Times New Roman"/>
          <w:b/>
          <w:bCs/>
          <w:color w:val="000000"/>
          <w:sz w:val="24"/>
          <w:szCs w:val="24"/>
          <w:lang w:eastAsia="fr-FR"/>
        </w:rPr>
        <w:t>anti-bactériens</w:t>
      </w:r>
      <w:proofErr w:type="spellEnd"/>
      <w:r w:rsidRPr="007C694B">
        <w:rPr>
          <w:rFonts w:ascii="Times New Roman" w:eastAsia="Times New Roman" w:hAnsi="Times New Roman" w:cs="Times New Roman"/>
          <w:b/>
          <w:bCs/>
          <w:color w:val="000000"/>
          <w:sz w:val="24"/>
          <w:szCs w:val="24"/>
          <w:lang w:eastAsia="fr-FR"/>
        </w:rPr>
        <w:t xml:space="preserve"> de la classe des quinolones</w:t>
      </w:r>
      <w:r w:rsidRPr="007C694B">
        <w:rPr>
          <w:rFonts w:ascii="Times New Roman" w:eastAsia="Times New Roman" w:hAnsi="Times New Roman" w:cs="Times New Roman"/>
          <w:color w:val="000000"/>
          <w:sz w:val="24"/>
          <w:szCs w:val="24"/>
          <w:lang w:eastAsia="fr-FR"/>
        </w:rPr>
        <w:t xml:space="preserve"> - </w:t>
      </w:r>
      <w:proofErr w:type="spellStart"/>
      <w:r w:rsidRPr="007C694B">
        <w:rPr>
          <w:rFonts w:ascii="Times New Roman" w:eastAsia="Times New Roman" w:hAnsi="Times New Roman" w:cs="Times New Roman"/>
          <w:b/>
          <w:bCs/>
          <w:color w:val="000000"/>
          <w:sz w:val="24"/>
          <w:szCs w:val="24"/>
          <w:lang w:eastAsia="fr-FR"/>
        </w:rPr>
        <w:t>fluoroquinolones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Code ATC: </w:t>
      </w:r>
      <w:r w:rsidRPr="007C694B">
        <w:rPr>
          <w:rFonts w:ascii="Times New Roman" w:eastAsia="Times New Roman" w:hAnsi="Times New Roman" w:cs="Times New Roman"/>
          <w:b/>
          <w:bCs/>
          <w:color w:val="000000"/>
          <w:sz w:val="24"/>
          <w:szCs w:val="24"/>
          <w:lang w:eastAsia="fr-FR"/>
        </w:rPr>
        <w:t>J01MA12</w:t>
      </w:r>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La </w:t>
      </w:r>
      <w:proofErr w:type="spellStart"/>
      <w:r w:rsidRPr="007C694B">
        <w:rPr>
          <w:rFonts w:ascii="Times New Roman" w:eastAsia="Times New Roman" w:hAnsi="Times New Roman" w:cs="Times New Roman"/>
          <w:color w:val="000000"/>
          <w:sz w:val="24"/>
          <w:szCs w:val="24"/>
          <w:lang w:eastAsia="fr-FR"/>
        </w:rPr>
        <w:t>lévofloxacine</w:t>
      </w:r>
      <w:proofErr w:type="spellEnd"/>
      <w:r w:rsidRPr="007C694B">
        <w:rPr>
          <w:rFonts w:ascii="Times New Roman" w:eastAsia="Times New Roman" w:hAnsi="Times New Roman" w:cs="Times New Roman"/>
          <w:color w:val="000000"/>
          <w:sz w:val="24"/>
          <w:szCs w:val="24"/>
          <w:lang w:eastAsia="fr-FR"/>
        </w:rPr>
        <w:t xml:space="preserve"> est un agent antibactérien de synthèse de la classe des </w:t>
      </w:r>
      <w:proofErr w:type="spellStart"/>
      <w:r w:rsidRPr="007C694B">
        <w:rPr>
          <w:rFonts w:ascii="Times New Roman" w:eastAsia="Times New Roman" w:hAnsi="Times New Roman" w:cs="Times New Roman"/>
          <w:color w:val="000000"/>
          <w:sz w:val="24"/>
          <w:szCs w:val="24"/>
          <w:lang w:eastAsia="fr-FR"/>
        </w:rPr>
        <w:t>fluoroquinolones</w:t>
      </w:r>
      <w:proofErr w:type="spellEnd"/>
      <w:r w:rsidRPr="007C694B">
        <w:rPr>
          <w:rFonts w:ascii="Times New Roman" w:eastAsia="Times New Roman" w:hAnsi="Times New Roman" w:cs="Times New Roman"/>
          <w:color w:val="000000"/>
          <w:sz w:val="24"/>
          <w:szCs w:val="24"/>
          <w:lang w:eastAsia="fr-FR"/>
        </w:rPr>
        <w:t xml:space="preserve">. Il s'agit de l'énantiomère S(-) de la substance médicamenteuse racémique </w:t>
      </w:r>
      <w:proofErr w:type="spellStart"/>
      <w:r w:rsidRPr="007C694B">
        <w:rPr>
          <w:rFonts w:ascii="Times New Roman" w:eastAsia="Times New Roman" w:hAnsi="Times New Roman" w:cs="Times New Roman"/>
          <w:color w:val="000000"/>
          <w:sz w:val="24"/>
          <w:szCs w:val="24"/>
          <w:lang w:eastAsia="fr-FR"/>
        </w:rPr>
        <w:t>ofloxacine</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Mécanisme d'action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En tant qu'antibactérien de la classe des </w:t>
      </w:r>
      <w:proofErr w:type="spellStart"/>
      <w:r w:rsidRPr="007C694B">
        <w:rPr>
          <w:rFonts w:ascii="Times New Roman" w:eastAsia="Times New Roman" w:hAnsi="Times New Roman" w:cs="Times New Roman"/>
          <w:color w:val="000000"/>
          <w:sz w:val="24"/>
          <w:szCs w:val="24"/>
          <w:lang w:eastAsia="fr-FR"/>
        </w:rPr>
        <w:t>fluoroquinolones</w:t>
      </w:r>
      <w:proofErr w:type="spellEnd"/>
      <w:r w:rsidRPr="007C694B">
        <w:rPr>
          <w:rFonts w:ascii="Times New Roman" w:eastAsia="Times New Roman" w:hAnsi="Times New Roman" w:cs="Times New Roman"/>
          <w:color w:val="000000"/>
          <w:sz w:val="24"/>
          <w:szCs w:val="24"/>
          <w:lang w:eastAsia="fr-FR"/>
        </w:rPr>
        <w:t xml:space="preserve">, la </w:t>
      </w:r>
      <w:proofErr w:type="spellStart"/>
      <w:r w:rsidRPr="007C694B">
        <w:rPr>
          <w:rFonts w:ascii="Times New Roman" w:eastAsia="Times New Roman" w:hAnsi="Times New Roman" w:cs="Times New Roman"/>
          <w:color w:val="000000"/>
          <w:sz w:val="24"/>
          <w:szCs w:val="24"/>
          <w:lang w:eastAsia="fr-FR"/>
        </w:rPr>
        <w:t>lévofloxacine</w:t>
      </w:r>
      <w:proofErr w:type="spellEnd"/>
      <w:r w:rsidRPr="007C694B">
        <w:rPr>
          <w:rFonts w:ascii="Times New Roman" w:eastAsia="Times New Roman" w:hAnsi="Times New Roman" w:cs="Times New Roman"/>
          <w:color w:val="000000"/>
          <w:sz w:val="24"/>
          <w:szCs w:val="24"/>
          <w:lang w:eastAsia="fr-FR"/>
        </w:rPr>
        <w:t xml:space="preserve"> agit sur le complexe ADN-ADN-</w:t>
      </w:r>
      <w:proofErr w:type="spellStart"/>
      <w:r w:rsidRPr="007C694B">
        <w:rPr>
          <w:rFonts w:ascii="Times New Roman" w:eastAsia="Times New Roman" w:hAnsi="Times New Roman" w:cs="Times New Roman"/>
          <w:color w:val="000000"/>
          <w:sz w:val="24"/>
          <w:szCs w:val="24"/>
          <w:lang w:eastAsia="fr-FR"/>
        </w:rPr>
        <w:t>gyrase</w:t>
      </w:r>
      <w:proofErr w:type="spellEnd"/>
      <w:r w:rsidRPr="007C694B">
        <w:rPr>
          <w:rFonts w:ascii="Times New Roman" w:eastAsia="Times New Roman" w:hAnsi="Times New Roman" w:cs="Times New Roman"/>
          <w:color w:val="000000"/>
          <w:sz w:val="24"/>
          <w:szCs w:val="24"/>
          <w:lang w:eastAsia="fr-FR"/>
        </w:rPr>
        <w:t xml:space="preserve"> et sur la topo-isomérase IV.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Relation PK/PD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Le degré d'activité bactéricide de la </w:t>
      </w:r>
      <w:proofErr w:type="spellStart"/>
      <w:r w:rsidRPr="007C694B">
        <w:rPr>
          <w:rFonts w:ascii="Times New Roman" w:eastAsia="Times New Roman" w:hAnsi="Times New Roman" w:cs="Times New Roman"/>
          <w:color w:val="000000"/>
          <w:sz w:val="24"/>
          <w:szCs w:val="24"/>
          <w:lang w:eastAsia="fr-FR"/>
        </w:rPr>
        <w:t>lévofloxacine</w:t>
      </w:r>
      <w:proofErr w:type="spellEnd"/>
      <w:r w:rsidRPr="007C694B">
        <w:rPr>
          <w:rFonts w:ascii="Times New Roman" w:eastAsia="Times New Roman" w:hAnsi="Times New Roman" w:cs="Times New Roman"/>
          <w:color w:val="000000"/>
          <w:sz w:val="24"/>
          <w:szCs w:val="24"/>
          <w:lang w:eastAsia="fr-FR"/>
        </w:rPr>
        <w:t xml:space="preserve"> dépend du ratio de l'aire sous la courbe (ASC) ou de la concentration sérique maximale (</w:t>
      </w:r>
      <w:proofErr w:type="spellStart"/>
      <w:r w:rsidRPr="007C694B">
        <w:rPr>
          <w:rFonts w:ascii="Times New Roman" w:eastAsia="Times New Roman" w:hAnsi="Times New Roman" w:cs="Times New Roman"/>
          <w:color w:val="000000"/>
          <w:sz w:val="24"/>
          <w:szCs w:val="24"/>
          <w:lang w:eastAsia="fr-FR"/>
        </w:rPr>
        <w:t>C</w:t>
      </w:r>
      <w:r w:rsidRPr="007C694B">
        <w:rPr>
          <w:rFonts w:ascii="Times New Roman" w:eastAsia="Times New Roman" w:hAnsi="Times New Roman" w:cs="Times New Roman"/>
          <w:color w:val="000000"/>
          <w:sz w:val="24"/>
          <w:szCs w:val="24"/>
          <w:vertAlign w:val="subscript"/>
          <w:lang w:eastAsia="fr-FR"/>
        </w:rPr>
        <w:t>max</w:t>
      </w:r>
      <w:proofErr w:type="spellEnd"/>
      <w:r w:rsidRPr="007C694B">
        <w:rPr>
          <w:rFonts w:ascii="Times New Roman" w:eastAsia="Times New Roman" w:hAnsi="Times New Roman" w:cs="Times New Roman"/>
          <w:color w:val="000000"/>
          <w:sz w:val="24"/>
          <w:szCs w:val="24"/>
          <w:lang w:eastAsia="fr-FR"/>
        </w:rPr>
        <w:t xml:space="preserve">) et de la concentration minimale inhibitrice (CMI).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Mécanisme de résistance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Le principal mécanisme de résistance est lié à une mutation </w:t>
      </w:r>
      <w:proofErr w:type="spellStart"/>
      <w:r w:rsidRPr="007C694B">
        <w:rPr>
          <w:rFonts w:ascii="Times New Roman" w:eastAsia="Times New Roman" w:hAnsi="Times New Roman" w:cs="Times New Roman"/>
          <w:i/>
          <w:iCs/>
          <w:color w:val="000000"/>
          <w:sz w:val="24"/>
          <w:szCs w:val="24"/>
          <w:lang w:eastAsia="fr-FR"/>
        </w:rPr>
        <w:t>gyr</w:t>
      </w:r>
      <w:proofErr w:type="spellEnd"/>
      <w:r w:rsidRPr="007C694B">
        <w:rPr>
          <w:rFonts w:ascii="Times New Roman" w:eastAsia="Times New Roman" w:hAnsi="Times New Roman" w:cs="Times New Roman"/>
          <w:i/>
          <w:iCs/>
          <w:color w:val="000000"/>
          <w:sz w:val="24"/>
          <w:szCs w:val="24"/>
          <w:lang w:eastAsia="fr-FR"/>
        </w:rPr>
        <w:t>-A</w:t>
      </w:r>
      <w:r w:rsidRPr="007C694B">
        <w:rPr>
          <w:rFonts w:ascii="Times New Roman" w:eastAsia="Times New Roman" w:hAnsi="Times New Roman" w:cs="Times New Roman"/>
          <w:color w:val="000000"/>
          <w:sz w:val="24"/>
          <w:szCs w:val="24"/>
          <w:lang w:eastAsia="fr-FR"/>
        </w:rPr>
        <w:t xml:space="preserve"> ou </w:t>
      </w:r>
      <w:proofErr w:type="spellStart"/>
      <w:r w:rsidRPr="007C694B">
        <w:rPr>
          <w:rFonts w:ascii="Times New Roman" w:eastAsia="Times New Roman" w:hAnsi="Times New Roman" w:cs="Times New Roman"/>
          <w:i/>
          <w:iCs/>
          <w:color w:val="000000"/>
          <w:sz w:val="24"/>
          <w:szCs w:val="24"/>
          <w:lang w:eastAsia="fr-FR"/>
        </w:rPr>
        <w:t>par-C</w:t>
      </w:r>
      <w:proofErr w:type="spellEnd"/>
      <w:r w:rsidRPr="007C694B">
        <w:rPr>
          <w:rFonts w:ascii="Times New Roman" w:eastAsia="Times New Roman" w:hAnsi="Times New Roman" w:cs="Times New Roman"/>
          <w:color w:val="000000"/>
          <w:sz w:val="24"/>
          <w:szCs w:val="24"/>
          <w:lang w:eastAsia="fr-FR"/>
        </w:rPr>
        <w:t xml:space="preserve">. On observe </w:t>
      </w:r>
      <w:r w:rsidRPr="007C694B">
        <w:rPr>
          <w:rFonts w:ascii="Times New Roman" w:eastAsia="Times New Roman" w:hAnsi="Times New Roman" w:cs="Times New Roman"/>
          <w:i/>
          <w:iCs/>
          <w:color w:val="000000"/>
          <w:sz w:val="24"/>
          <w:szCs w:val="24"/>
          <w:lang w:eastAsia="fr-FR"/>
        </w:rPr>
        <w:t>in vitro</w:t>
      </w:r>
      <w:r w:rsidRPr="007C694B">
        <w:rPr>
          <w:rFonts w:ascii="Times New Roman" w:eastAsia="Times New Roman" w:hAnsi="Times New Roman" w:cs="Times New Roman"/>
          <w:color w:val="000000"/>
          <w:sz w:val="24"/>
          <w:szCs w:val="24"/>
          <w:lang w:eastAsia="fr-FR"/>
        </w:rPr>
        <w:t xml:space="preserve"> une résistance croisée entre la </w:t>
      </w:r>
      <w:proofErr w:type="spellStart"/>
      <w:r w:rsidRPr="007C694B">
        <w:rPr>
          <w:rFonts w:ascii="Times New Roman" w:eastAsia="Times New Roman" w:hAnsi="Times New Roman" w:cs="Times New Roman"/>
          <w:color w:val="000000"/>
          <w:sz w:val="24"/>
          <w:szCs w:val="24"/>
          <w:lang w:eastAsia="fr-FR"/>
        </w:rPr>
        <w:t>lévofloxacine</w:t>
      </w:r>
      <w:proofErr w:type="spellEnd"/>
      <w:r w:rsidRPr="007C694B">
        <w:rPr>
          <w:rFonts w:ascii="Times New Roman" w:eastAsia="Times New Roman" w:hAnsi="Times New Roman" w:cs="Times New Roman"/>
          <w:color w:val="000000"/>
          <w:sz w:val="24"/>
          <w:szCs w:val="24"/>
          <w:lang w:eastAsia="fr-FR"/>
        </w:rPr>
        <w:t xml:space="preserve"> et les autres </w:t>
      </w:r>
      <w:proofErr w:type="spellStart"/>
      <w:r w:rsidRPr="007C694B">
        <w:rPr>
          <w:rFonts w:ascii="Times New Roman" w:eastAsia="Times New Roman" w:hAnsi="Times New Roman" w:cs="Times New Roman"/>
          <w:color w:val="000000"/>
          <w:sz w:val="24"/>
          <w:szCs w:val="24"/>
          <w:lang w:eastAsia="fr-FR"/>
        </w:rPr>
        <w:t>fluoroquinolones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En raison du mécanisme d'action, il n'y a généralement pas de résistance croisée entre la </w:t>
      </w:r>
      <w:proofErr w:type="spellStart"/>
      <w:r w:rsidRPr="007C694B">
        <w:rPr>
          <w:rFonts w:ascii="Times New Roman" w:eastAsia="Times New Roman" w:hAnsi="Times New Roman" w:cs="Times New Roman"/>
          <w:color w:val="000000"/>
          <w:sz w:val="24"/>
          <w:szCs w:val="24"/>
          <w:lang w:eastAsia="fr-FR"/>
        </w:rPr>
        <w:t>lévofloxacine</w:t>
      </w:r>
      <w:proofErr w:type="spellEnd"/>
      <w:r w:rsidRPr="007C694B">
        <w:rPr>
          <w:rFonts w:ascii="Times New Roman" w:eastAsia="Times New Roman" w:hAnsi="Times New Roman" w:cs="Times New Roman"/>
          <w:color w:val="000000"/>
          <w:sz w:val="24"/>
          <w:szCs w:val="24"/>
          <w:lang w:eastAsia="fr-FR"/>
        </w:rPr>
        <w:t xml:space="preserve"> et les autres classes d'antibactériens.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Concentrations critiques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Les concentrations critiques de la </w:t>
      </w:r>
      <w:proofErr w:type="spellStart"/>
      <w:r w:rsidRPr="007C694B">
        <w:rPr>
          <w:rFonts w:ascii="Times New Roman" w:eastAsia="Times New Roman" w:hAnsi="Times New Roman" w:cs="Times New Roman"/>
          <w:color w:val="000000"/>
          <w:sz w:val="24"/>
          <w:szCs w:val="24"/>
          <w:lang w:eastAsia="fr-FR"/>
        </w:rPr>
        <w:t>lévofloxacine</w:t>
      </w:r>
      <w:proofErr w:type="spellEnd"/>
      <w:r w:rsidRPr="007C694B">
        <w:rPr>
          <w:rFonts w:ascii="Times New Roman" w:eastAsia="Times New Roman" w:hAnsi="Times New Roman" w:cs="Times New Roman"/>
          <w:color w:val="000000"/>
          <w:sz w:val="24"/>
          <w:szCs w:val="24"/>
          <w:lang w:eastAsia="fr-FR"/>
        </w:rPr>
        <w:t xml:space="preserve"> selon les recommandations comité européen de mesure de sensibilité antimicrobienne (EUCAST) sont proposées ci-dessous. Elles séparent les souches sensibles des souches de sensibilité intermédiaire, et ces dernières, des résistances : </w:t>
      </w:r>
    </w:p>
    <w:tbl>
      <w:tblPr>
        <w:tblW w:w="3705" w:type="pct"/>
        <w:jc w:val="center"/>
        <w:tblCellSpacing w:w="0" w:type="dxa"/>
        <w:tblInd w:w="720" w:type="dxa"/>
        <w:tblCellMar>
          <w:left w:w="0" w:type="dxa"/>
          <w:right w:w="0" w:type="dxa"/>
        </w:tblCellMar>
        <w:tblLook w:val="04A0"/>
      </w:tblPr>
      <w:tblGrid>
        <w:gridCol w:w="3980"/>
        <w:gridCol w:w="1482"/>
        <w:gridCol w:w="1450"/>
      </w:tblGrid>
      <w:tr w:rsidR="003E4465" w:rsidRPr="007C694B" w:rsidTr="00F06659">
        <w:trPr>
          <w:tblCellSpacing w:w="0" w:type="dxa"/>
          <w:jc w:val="center"/>
        </w:trPr>
        <w:tc>
          <w:tcPr>
            <w:tcW w:w="43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Agent pathogène </w:t>
            </w:r>
          </w:p>
        </w:tc>
        <w:tc>
          <w:tcPr>
            <w:tcW w:w="15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Sensible </w:t>
            </w:r>
          </w:p>
        </w:tc>
        <w:tc>
          <w:tcPr>
            <w:tcW w:w="1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Résistant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Enterobacteriacae</w:t>
            </w:r>
            <w:proofErr w:type="spellEnd"/>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1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2 mg/L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Pseudomonas</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spp</w:t>
            </w:r>
            <w:proofErr w:type="spellEnd"/>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1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2 mg/L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Acinetobacter</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spp</w:t>
            </w:r>
            <w:proofErr w:type="spellEnd"/>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1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2 mg/L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Staphylococcus</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spp</w:t>
            </w:r>
            <w:proofErr w:type="spellEnd"/>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1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2 mg/L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S.pneumoniae</w:t>
            </w:r>
            <w:proofErr w:type="spellEnd"/>
            <w:r w:rsidRPr="007C694B">
              <w:rPr>
                <w:rFonts w:ascii="Times New Roman" w:eastAsia="Times New Roman" w:hAnsi="Times New Roman" w:cs="Times New Roman"/>
                <w:color w:val="000000"/>
                <w:sz w:val="24"/>
                <w:szCs w:val="24"/>
                <w:lang w:eastAsia="fr-FR"/>
              </w:rPr>
              <w:t xml:space="preserve"> </w:t>
            </w:r>
            <w:r w:rsidRPr="007C694B">
              <w:rPr>
                <w:rFonts w:ascii="Times New Roman" w:eastAsia="Times New Roman" w:hAnsi="Times New Roman" w:cs="Times New Roman"/>
                <w:color w:val="000000"/>
                <w:sz w:val="24"/>
                <w:szCs w:val="24"/>
                <w:vertAlign w:val="superscript"/>
                <w:lang w:eastAsia="fr-FR"/>
              </w:rPr>
              <w:t>1</w:t>
            </w:r>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2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2 mg/L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Streptococcus</w:t>
            </w:r>
            <w:proofErr w:type="spellEnd"/>
            <w:r w:rsidRPr="007C694B">
              <w:rPr>
                <w:rFonts w:ascii="Times New Roman" w:eastAsia="Times New Roman" w:hAnsi="Times New Roman" w:cs="Times New Roman"/>
                <w:color w:val="000000"/>
                <w:sz w:val="24"/>
                <w:szCs w:val="24"/>
                <w:lang w:eastAsia="fr-FR"/>
              </w:rPr>
              <w:t xml:space="preserve"> A</w:t>
            </w:r>
            <w:proofErr w:type="gramStart"/>
            <w:r w:rsidRPr="007C694B">
              <w:rPr>
                <w:rFonts w:ascii="Times New Roman" w:eastAsia="Times New Roman" w:hAnsi="Times New Roman" w:cs="Times New Roman"/>
                <w:color w:val="000000"/>
                <w:sz w:val="24"/>
                <w:szCs w:val="24"/>
                <w:lang w:eastAsia="fr-FR"/>
              </w:rPr>
              <w:t>,B,C,G</w:t>
            </w:r>
            <w:proofErr w:type="gramEnd"/>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1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2 mg/L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H.influenzae</w:t>
            </w:r>
            <w:proofErr w:type="spellEnd"/>
            <w:r w:rsidRPr="007C694B">
              <w:rPr>
                <w:rFonts w:ascii="Times New Roman" w:eastAsia="Times New Roman" w:hAnsi="Times New Roman" w:cs="Times New Roman"/>
                <w:i/>
                <w:iCs/>
                <w:color w:val="000000"/>
                <w:sz w:val="24"/>
                <w:szCs w:val="24"/>
                <w:lang w:eastAsia="fr-FR"/>
              </w:rPr>
              <w:t xml:space="preserve"> </w:t>
            </w:r>
            <w:proofErr w:type="spellStart"/>
            <w:r w:rsidRPr="007C694B">
              <w:rPr>
                <w:rFonts w:ascii="Times New Roman" w:eastAsia="Times New Roman" w:hAnsi="Times New Roman" w:cs="Times New Roman"/>
                <w:i/>
                <w:iCs/>
                <w:color w:val="000000"/>
                <w:sz w:val="24"/>
                <w:szCs w:val="24"/>
                <w:lang w:eastAsia="fr-FR"/>
              </w:rPr>
              <w:t>M.catarrhalis</w:t>
            </w:r>
            <w:proofErr w:type="spellEnd"/>
            <w:r w:rsidRPr="007C694B">
              <w:rPr>
                <w:rFonts w:ascii="Times New Roman" w:eastAsia="Times New Roman" w:hAnsi="Times New Roman" w:cs="Times New Roman"/>
                <w:color w:val="000000"/>
                <w:sz w:val="24"/>
                <w:szCs w:val="24"/>
                <w:lang w:eastAsia="fr-FR"/>
              </w:rPr>
              <w:t xml:space="preserve"> </w:t>
            </w:r>
            <w:r w:rsidRPr="007C694B">
              <w:rPr>
                <w:rFonts w:ascii="Times New Roman" w:eastAsia="Times New Roman" w:hAnsi="Times New Roman" w:cs="Times New Roman"/>
                <w:color w:val="000000"/>
                <w:sz w:val="24"/>
                <w:szCs w:val="24"/>
                <w:vertAlign w:val="superscript"/>
                <w:lang w:eastAsia="fr-FR"/>
              </w:rPr>
              <w:t>2</w:t>
            </w:r>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1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1 mg/L </w:t>
            </w:r>
          </w:p>
        </w:tc>
      </w:tr>
      <w:tr w:rsidR="003E4465" w:rsidRPr="007C694B" w:rsidTr="00F06659">
        <w:trPr>
          <w:tblCellSpacing w:w="0" w:type="dxa"/>
          <w:jc w:val="center"/>
        </w:trPr>
        <w:tc>
          <w:tcPr>
            <w:tcW w:w="4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Concentrations critiques non liées à l'espèce </w:t>
            </w:r>
            <w:r w:rsidRPr="007C694B">
              <w:rPr>
                <w:rFonts w:ascii="Times New Roman" w:eastAsia="Times New Roman" w:hAnsi="Times New Roman" w:cs="Times New Roman"/>
                <w:color w:val="000000"/>
                <w:sz w:val="24"/>
                <w:szCs w:val="24"/>
                <w:vertAlign w:val="superscript"/>
                <w:lang w:eastAsia="fr-FR"/>
              </w:rPr>
              <w:t>3</w:t>
            </w:r>
            <w:r w:rsidRPr="007C694B">
              <w:rPr>
                <w:rFonts w:ascii="Times New Roman" w:eastAsia="Times New Roman" w:hAnsi="Times New Roman" w:cs="Times New Roman"/>
                <w:color w:val="000000"/>
                <w:sz w:val="24"/>
                <w:szCs w:val="24"/>
                <w:lang w:eastAsia="fr-FR"/>
              </w:rPr>
              <w:t xml:space="preserve"> </w:t>
            </w:r>
          </w:p>
        </w:tc>
        <w:tc>
          <w:tcPr>
            <w:tcW w:w="1569"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1 mg/L </w:t>
            </w:r>
          </w:p>
        </w:tc>
        <w:tc>
          <w:tcPr>
            <w:tcW w:w="1517" w:type="dxa"/>
            <w:tcBorders>
              <w:top w:val="nil"/>
              <w:left w:val="nil"/>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&gt; 2 mg/L </w:t>
            </w:r>
          </w:p>
        </w:tc>
      </w:tr>
    </w:tbl>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vertAlign w:val="superscript"/>
          <w:lang w:eastAsia="fr-FR"/>
        </w:rPr>
        <w:lastRenderedPageBreak/>
        <w:t>1</w:t>
      </w:r>
      <w:r w:rsidRPr="007C694B">
        <w:rPr>
          <w:rFonts w:ascii="Times New Roman" w:eastAsia="Times New Roman" w:hAnsi="Times New Roman" w:cs="Times New Roman"/>
          <w:color w:val="000000"/>
          <w:sz w:val="24"/>
          <w:szCs w:val="24"/>
          <w:lang w:eastAsia="fr-FR"/>
        </w:rPr>
        <w:t xml:space="preserve"> La valeur critique S/I a été passée de 1,0 à 2,0 pour éviter la division de la distribution CMI sauvage. Les valeurs critiques concernent le traitement à haute dose.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vertAlign w:val="superscript"/>
          <w:lang w:eastAsia="fr-FR"/>
        </w:rPr>
        <w:t>2</w:t>
      </w:r>
      <w:r w:rsidRPr="007C694B">
        <w:rPr>
          <w:rFonts w:ascii="Times New Roman" w:eastAsia="Times New Roman" w:hAnsi="Times New Roman" w:cs="Times New Roman"/>
          <w:color w:val="000000"/>
          <w:sz w:val="24"/>
          <w:szCs w:val="24"/>
          <w:lang w:eastAsia="fr-FR"/>
        </w:rPr>
        <w:t xml:space="preserve"> Les souches ayant des valeurs de CMI supérieures à la valeur critique S/I sont très rares et à ce jour aucune n'a été signalée. Les tests d'identification et de sensibilité à l'antimicrobien sur ces isolats doivent être répétés et, si le résultat est confirmé, l'isolat doit être transmis à un laboratoire de référence.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i/>
          <w:iCs/>
          <w:color w:val="000000"/>
          <w:sz w:val="24"/>
          <w:szCs w:val="24"/>
          <w:vertAlign w:val="superscript"/>
          <w:lang w:eastAsia="fr-FR"/>
        </w:rPr>
        <w:t>3</w:t>
      </w:r>
      <w:r w:rsidRPr="007C694B">
        <w:rPr>
          <w:rFonts w:ascii="Times New Roman" w:eastAsia="Times New Roman" w:hAnsi="Times New Roman" w:cs="Times New Roman"/>
          <w:i/>
          <w:iCs/>
          <w:color w:val="000000"/>
          <w:sz w:val="24"/>
          <w:szCs w:val="24"/>
          <w:lang w:eastAsia="fr-FR"/>
        </w:rPr>
        <w:t xml:space="preserve"> </w:t>
      </w:r>
      <w:r w:rsidRPr="007C694B">
        <w:rPr>
          <w:rFonts w:ascii="Times New Roman" w:eastAsia="Times New Roman" w:hAnsi="Times New Roman" w:cs="Times New Roman"/>
          <w:color w:val="000000"/>
          <w:sz w:val="24"/>
          <w:szCs w:val="24"/>
          <w:lang w:eastAsia="fr-FR"/>
        </w:rPr>
        <w:t xml:space="preserve">Les concentrations critiques non liées à l'espèce bactérienne ont été déterminées principalement sur la base des données pharmacocinétiques/pharmacodynamiques et sont indépendantes de la distribution des CMI d'espèces spécifiques. Elles ne sont à utiliser que pour les espèces n'ayant pas de concentration critique propre à l'espèce et ne doivent pas être utilisées vis à vis d'espèces pour lesquelles des critères d'interprétation restent encore à déterminer.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Spectre antibactérien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Il est donc utile de disposer d'information sur la prévalence de la résistance locale, surtout pour le traitement d'infections sévères. Si nécessaire, il est souhaitable d'obtenir un avis spécialisé principalement lorsque l'intérêt du médicament dans certaines infections peut être mis en cause du fait du niveau de prévalence de la résistance locale. </w:t>
      </w:r>
    </w:p>
    <w:tbl>
      <w:tblPr>
        <w:tblW w:w="0" w:type="auto"/>
        <w:jc w:val="center"/>
        <w:tblCellSpacing w:w="0" w:type="dxa"/>
        <w:tblInd w:w="720" w:type="dxa"/>
        <w:tblCellMar>
          <w:left w:w="0" w:type="dxa"/>
          <w:right w:w="0" w:type="dxa"/>
        </w:tblCellMar>
        <w:tblLook w:val="04A0"/>
      </w:tblPr>
      <w:tblGrid>
        <w:gridCol w:w="7430"/>
      </w:tblGrid>
      <w:tr w:rsidR="003E4465" w:rsidRPr="007C694B" w:rsidTr="00F06659">
        <w:trPr>
          <w:trHeight w:val="403"/>
          <w:tblCellSpacing w:w="0" w:type="dxa"/>
          <w:jc w:val="center"/>
        </w:trPr>
        <w:tc>
          <w:tcPr>
            <w:tcW w:w="7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u w:val="single"/>
                <w:lang w:eastAsia="fr-FR"/>
              </w:rPr>
              <w:t>ESPECES HABITUELLEMENT SENSIBLES</w:t>
            </w:r>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1152"/>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Bactéries aérobies à gram positif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Staphylococcus</w:t>
            </w:r>
            <w:proofErr w:type="spellEnd"/>
            <w:r w:rsidRPr="007C694B">
              <w:rPr>
                <w:rFonts w:ascii="Times New Roman" w:eastAsia="Times New Roman" w:hAnsi="Times New Roman" w:cs="Times New Roman"/>
                <w:i/>
                <w:iCs/>
                <w:color w:val="000000"/>
                <w:sz w:val="24"/>
                <w:szCs w:val="24"/>
                <w:lang w:eastAsia="fr-FR"/>
              </w:rPr>
              <w:t xml:space="preserve"> aureus*</w:t>
            </w:r>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méticilline</w:t>
            </w:r>
            <w:proofErr w:type="spellEnd"/>
            <w:r w:rsidRPr="007C694B">
              <w:rPr>
                <w:rFonts w:ascii="Times New Roman" w:eastAsia="Times New Roman" w:hAnsi="Times New Roman" w:cs="Times New Roman"/>
                <w:color w:val="000000"/>
                <w:sz w:val="24"/>
                <w:szCs w:val="24"/>
                <w:lang w:eastAsia="fr-FR"/>
              </w:rPr>
              <w:t xml:space="preserve">-sensible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staphylocoque </w:t>
            </w:r>
            <w:r w:rsidRPr="007C694B">
              <w:rPr>
                <w:rFonts w:ascii="Times New Roman" w:eastAsia="Times New Roman" w:hAnsi="Times New Roman" w:cs="Times New Roman"/>
                <w:i/>
                <w:iCs/>
                <w:color w:val="000000"/>
                <w:sz w:val="24"/>
                <w:szCs w:val="24"/>
                <w:lang w:eastAsia="fr-FR"/>
              </w:rPr>
              <w:t>à</w:t>
            </w:r>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Coagulase</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negative</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méticilline</w:t>
            </w:r>
            <w:proofErr w:type="spellEnd"/>
            <w:r w:rsidRPr="007C694B">
              <w:rPr>
                <w:rFonts w:ascii="Times New Roman" w:eastAsia="Times New Roman" w:hAnsi="Times New Roman" w:cs="Times New Roman"/>
                <w:color w:val="000000"/>
                <w:sz w:val="24"/>
                <w:szCs w:val="24"/>
                <w:lang w:eastAsia="fr-FR"/>
              </w:rPr>
              <w:t xml:space="preserve">-sensible, y compris staphylocoques </w:t>
            </w:r>
            <w:proofErr w:type="spellStart"/>
            <w:r w:rsidRPr="007C694B">
              <w:rPr>
                <w:rFonts w:ascii="Times New Roman" w:eastAsia="Times New Roman" w:hAnsi="Times New Roman" w:cs="Times New Roman"/>
                <w:color w:val="000000"/>
                <w:sz w:val="24"/>
                <w:szCs w:val="24"/>
                <w:lang w:eastAsia="fr-FR"/>
              </w:rPr>
              <w:t>saprophyticus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streptocoques </w:t>
            </w:r>
          </w:p>
        </w:tc>
      </w:tr>
      <w:tr w:rsidR="003E4465" w:rsidRPr="007C694B" w:rsidTr="00F06659">
        <w:trPr>
          <w:trHeight w:val="3070"/>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Bactéries aérobies à gram négatif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Eikenella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corrodens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Haemophilus</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influenzae</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Haemophilus</w:t>
            </w:r>
            <w:proofErr w:type="spellEnd"/>
            <w:r w:rsidRPr="007C694B">
              <w:rPr>
                <w:rFonts w:ascii="Times New Roman" w:eastAsia="Times New Roman" w:hAnsi="Times New Roman" w:cs="Times New Roman"/>
                <w:color w:val="000000"/>
                <w:sz w:val="24"/>
                <w:szCs w:val="24"/>
                <w:lang w:eastAsia="fr-FR"/>
              </w:rPr>
              <w:t xml:space="preserve"> para-</w:t>
            </w:r>
            <w:proofErr w:type="spellStart"/>
            <w:r w:rsidRPr="007C694B">
              <w:rPr>
                <w:rFonts w:ascii="Times New Roman" w:eastAsia="Times New Roman" w:hAnsi="Times New Roman" w:cs="Times New Roman"/>
                <w:color w:val="000000"/>
                <w:sz w:val="24"/>
                <w:szCs w:val="24"/>
                <w:lang w:eastAsia="fr-FR"/>
              </w:rPr>
              <w:t>influenzae</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Klebsiella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oxytoca</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Klebsiella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pneumoniae</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Moraxella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catarrhalis</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Pasteurella </w:t>
            </w:r>
            <w:proofErr w:type="spellStart"/>
            <w:r w:rsidRPr="007C694B">
              <w:rPr>
                <w:rFonts w:ascii="Times New Roman" w:eastAsia="Times New Roman" w:hAnsi="Times New Roman" w:cs="Times New Roman"/>
                <w:color w:val="000000"/>
                <w:sz w:val="24"/>
                <w:szCs w:val="24"/>
                <w:lang w:eastAsia="fr-FR"/>
              </w:rPr>
              <w:t>multocida</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lastRenderedPageBreak/>
              <w:t>Proteus</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vulgaris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Providencia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rettgeri</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Legionella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pneumophila</w:t>
            </w:r>
            <w:proofErr w:type="spellEnd"/>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1568"/>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en-GB" w:eastAsia="fr-FR"/>
              </w:rPr>
              <w:lastRenderedPageBreak/>
              <w:t>Bactéries</w:t>
            </w:r>
            <w:proofErr w:type="spellEnd"/>
            <w:r w:rsidRPr="007C694B">
              <w:rPr>
                <w:rFonts w:ascii="Times New Roman" w:eastAsia="Times New Roman" w:hAnsi="Times New Roman" w:cs="Times New Roman"/>
                <w:color w:val="000000"/>
                <w:sz w:val="24"/>
                <w:szCs w:val="24"/>
                <w:lang w:val="en-GB" w:eastAsia="fr-FR"/>
              </w:rPr>
              <w:t xml:space="preserve"> </w:t>
            </w:r>
            <w:proofErr w:type="spellStart"/>
            <w:r w:rsidRPr="007C694B">
              <w:rPr>
                <w:rFonts w:ascii="Times New Roman" w:eastAsia="Times New Roman" w:hAnsi="Times New Roman" w:cs="Times New Roman"/>
                <w:color w:val="000000"/>
                <w:sz w:val="24"/>
                <w:szCs w:val="24"/>
                <w:lang w:val="en-GB" w:eastAsia="fr-FR"/>
              </w:rPr>
              <w:t>anaérobies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Clostridium</w:t>
            </w:r>
            <w:proofErr w:type="spellEnd"/>
            <w:r w:rsidRPr="007C694B">
              <w:rPr>
                <w:rFonts w:ascii="Times New Roman" w:eastAsia="Times New Roman" w:hAnsi="Times New Roman" w:cs="Times New Roman"/>
                <w:color w:val="000000"/>
                <w:sz w:val="24"/>
                <w:szCs w:val="24"/>
                <w:lang w:eastAsia="fr-FR"/>
              </w:rPr>
              <w:t xml:space="preserve"> perfringens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en-US" w:eastAsia="fr-FR"/>
              </w:rPr>
              <w:t>Fusobacterium</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en-US" w:eastAsia="fr-FR"/>
              </w:rPr>
              <w:t>Prevotella</w:t>
            </w:r>
            <w:proofErr w:type="spellEnd"/>
            <w:r w:rsidRPr="007C694B">
              <w:rPr>
                <w:rFonts w:ascii="Times New Roman" w:eastAsia="Times New Roman" w:hAnsi="Times New Roman" w:cs="Times New Roman"/>
                <w:color w:val="000000"/>
                <w:sz w:val="24"/>
                <w:szCs w:val="24"/>
                <w:lang w:val="en-US" w:eastAsia="fr-FR"/>
              </w:rPr>
              <w:t xml:space="preserve"> ($)</w:t>
            </w:r>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Propionibacterium</w:t>
            </w:r>
            <w:proofErr w:type="spellEnd"/>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2230"/>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Autres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Chlamydophila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pneumoniae</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Chlamydophila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psittaci</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Chlamydia </w:t>
            </w:r>
            <w:proofErr w:type="spellStart"/>
            <w:r w:rsidRPr="007C694B">
              <w:rPr>
                <w:rFonts w:ascii="Times New Roman" w:eastAsia="Times New Roman" w:hAnsi="Times New Roman" w:cs="Times New Roman"/>
                <w:color w:val="000000"/>
                <w:sz w:val="24"/>
                <w:szCs w:val="24"/>
                <w:lang w:eastAsia="fr-FR"/>
              </w:rPr>
              <w:t>trachomatis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en-GB" w:eastAsia="fr-FR"/>
              </w:rPr>
              <w:t>Mycoplasma</w:t>
            </w:r>
            <w:proofErr w:type="spellEnd"/>
            <w:r w:rsidRPr="007C694B">
              <w:rPr>
                <w:rFonts w:ascii="Times New Roman" w:eastAsia="Times New Roman" w:hAnsi="Times New Roman" w:cs="Times New Roman"/>
                <w:color w:val="000000"/>
                <w:sz w:val="24"/>
                <w:szCs w:val="24"/>
                <w:lang w:val="en-GB" w:eastAsia="fr-FR"/>
              </w:rPr>
              <w:t xml:space="preserve"> </w:t>
            </w:r>
            <w:proofErr w:type="spellStart"/>
            <w:r w:rsidRPr="007C694B">
              <w:rPr>
                <w:rFonts w:ascii="Times New Roman" w:eastAsia="Times New Roman" w:hAnsi="Times New Roman" w:cs="Times New Roman"/>
                <w:color w:val="000000"/>
                <w:sz w:val="24"/>
                <w:szCs w:val="24"/>
                <w:lang w:val="en-GB" w:eastAsia="fr-FR"/>
              </w:rPr>
              <w:t>pneumoniae</w:t>
            </w:r>
            <w:proofErr w:type="spellEnd"/>
            <w:r w:rsidRPr="007C694B">
              <w:rPr>
                <w:rFonts w:ascii="Times New Roman" w:eastAsia="Times New Roman" w:hAnsi="Times New Roman" w:cs="Times New Roman"/>
                <w:color w:val="000000"/>
                <w:sz w:val="24"/>
                <w:szCs w:val="24"/>
                <w:lang w:val="en-GB" w:eastAsia="fr-FR"/>
              </w:rPr>
              <w:t xml:space="preserve"> *</w:t>
            </w:r>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en-GB" w:eastAsia="fr-FR"/>
              </w:rPr>
              <w:t>Mycoplasma</w:t>
            </w:r>
            <w:proofErr w:type="spellEnd"/>
            <w:r w:rsidRPr="007C694B">
              <w:rPr>
                <w:rFonts w:ascii="Times New Roman" w:eastAsia="Times New Roman" w:hAnsi="Times New Roman" w:cs="Times New Roman"/>
                <w:color w:val="000000"/>
                <w:sz w:val="24"/>
                <w:szCs w:val="24"/>
                <w:lang w:val="en-GB" w:eastAsia="fr-FR"/>
              </w:rPr>
              <w:t xml:space="preserve"> </w:t>
            </w:r>
            <w:proofErr w:type="spellStart"/>
            <w:r w:rsidRPr="007C694B">
              <w:rPr>
                <w:rFonts w:ascii="Times New Roman" w:eastAsia="Times New Roman" w:hAnsi="Times New Roman" w:cs="Times New Roman"/>
                <w:color w:val="000000"/>
                <w:sz w:val="24"/>
                <w:szCs w:val="24"/>
                <w:lang w:val="en-GB" w:eastAsia="fr-FR"/>
              </w:rPr>
              <w:t>hominis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en-GB" w:eastAsia="fr-FR"/>
              </w:rPr>
              <w:t>Ureaplasma</w:t>
            </w:r>
            <w:proofErr w:type="spellEnd"/>
            <w:r w:rsidRPr="007C694B">
              <w:rPr>
                <w:rFonts w:ascii="Times New Roman" w:eastAsia="Times New Roman" w:hAnsi="Times New Roman" w:cs="Times New Roman"/>
                <w:color w:val="000000"/>
                <w:sz w:val="24"/>
                <w:szCs w:val="24"/>
                <w:lang w:val="en-GB" w:eastAsia="fr-FR"/>
              </w:rPr>
              <w:t xml:space="preserve"> </w:t>
            </w:r>
            <w:proofErr w:type="spellStart"/>
            <w:r w:rsidRPr="007C694B">
              <w:rPr>
                <w:rFonts w:ascii="Times New Roman" w:eastAsia="Times New Roman" w:hAnsi="Times New Roman" w:cs="Times New Roman"/>
                <w:color w:val="000000"/>
                <w:sz w:val="24"/>
                <w:szCs w:val="24"/>
                <w:lang w:val="en-GB" w:eastAsia="fr-FR"/>
              </w:rPr>
              <w:t>urealyticum</w:t>
            </w:r>
            <w:proofErr w:type="spellEnd"/>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u w:val="single"/>
                <w:lang w:eastAsia="fr-FR"/>
              </w:rPr>
              <w:t>ESPÈCES POUR LESQUELLES UNE RÉSISTANCE ACQUISE PEUT POSER PROBLÈME</w:t>
            </w:r>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1130"/>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Bactéries aérobies à gram positif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Enterococcus</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faecalis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i/>
                <w:iCs/>
                <w:color w:val="000000"/>
                <w:sz w:val="24"/>
                <w:szCs w:val="24"/>
                <w:lang w:eastAsia="fr-FR"/>
              </w:rPr>
              <w:t>Staphylococcus</w:t>
            </w:r>
            <w:proofErr w:type="spellEnd"/>
            <w:r w:rsidRPr="007C694B">
              <w:rPr>
                <w:rFonts w:ascii="Times New Roman" w:eastAsia="Times New Roman" w:hAnsi="Times New Roman" w:cs="Times New Roman"/>
                <w:i/>
                <w:iCs/>
                <w:color w:val="000000"/>
                <w:sz w:val="24"/>
                <w:szCs w:val="24"/>
                <w:lang w:eastAsia="fr-FR"/>
              </w:rPr>
              <w:t xml:space="preserve"> aureus</w:t>
            </w:r>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méticilline</w:t>
            </w:r>
            <w:proofErr w:type="spellEnd"/>
            <w:r w:rsidRPr="007C694B">
              <w:rPr>
                <w:rFonts w:ascii="Times New Roman" w:eastAsia="Times New Roman" w:hAnsi="Times New Roman" w:cs="Times New Roman"/>
                <w:color w:val="000000"/>
                <w:sz w:val="24"/>
                <w:szCs w:val="24"/>
                <w:lang w:eastAsia="fr-FR"/>
              </w:rPr>
              <w:t xml:space="preserve">-résistant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staphylocoques à </w:t>
            </w:r>
            <w:proofErr w:type="spellStart"/>
            <w:r w:rsidRPr="007C694B">
              <w:rPr>
                <w:rFonts w:ascii="Times New Roman" w:eastAsia="Times New Roman" w:hAnsi="Times New Roman" w:cs="Times New Roman"/>
                <w:color w:val="000000"/>
                <w:sz w:val="24"/>
                <w:szCs w:val="24"/>
                <w:lang w:eastAsia="fr-FR"/>
              </w:rPr>
              <w:t>Coagulase</w:t>
            </w:r>
            <w:proofErr w:type="spellEnd"/>
            <w:r w:rsidRPr="007C694B">
              <w:rPr>
                <w:rFonts w:ascii="Times New Roman" w:eastAsia="Times New Roman" w:hAnsi="Times New Roman" w:cs="Times New Roman"/>
                <w:color w:val="000000"/>
                <w:sz w:val="24"/>
                <w:szCs w:val="24"/>
                <w:lang w:eastAsia="fr-FR"/>
              </w:rPr>
              <w:t xml:space="preserve">-négative, </w:t>
            </w:r>
            <w:proofErr w:type="spellStart"/>
            <w:r w:rsidRPr="007C694B">
              <w:rPr>
                <w:rFonts w:ascii="Times New Roman" w:eastAsia="Times New Roman" w:hAnsi="Times New Roman" w:cs="Times New Roman"/>
                <w:color w:val="000000"/>
                <w:sz w:val="24"/>
                <w:szCs w:val="24"/>
                <w:lang w:eastAsia="fr-FR"/>
              </w:rPr>
              <w:t>méticilline</w:t>
            </w:r>
            <w:proofErr w:type="spellEnd"/>
            <w:r w:rsidRPr="007C694B">
              <w:rPr>
                <w:rFonts w:ascii="Times New Roman" w:eastAsia="Times New Roman" w:hAnsi="Times New Roman" w:cs="Times New Roman"/>
                <w:color w:val="000000"/>
                <w:sz w:val="24"/>
                <w:szCs w:val="24"/>
                <w:lang w:eastAsia="fr-FR"/>
              </w:rPr>
              <w:t xml:space="preserve">-résistants </w:t>
            </w:r>
          </w:p>
        </w:tc>
      </w:tr>
      <w:tr w:rsidR="003E4465" w:rsidRPr="007C694B" w:rsidTr="00F06659">
        <w:trPr>
          <w:trHeight w:val="3350"/>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lastRenderedPageBreak/>
              <w:t xml:space="preserve">Bactéries aérobies à gram négatif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Acinetobacter</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baumannii</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de-DE" w:eastAsia="fr-FR"/>
              </w:rPr>
              <w:t>Citrobacter</w:t>
            </w:r>
            <w:proofErr w:type="spellEnd"/>
            <w:r w:rsidRPr="007C694B">
              <w:rPr>
                <w:rFonts w:ascii="Times New Roman" w:eastAsia="Times New Roman" w:hAnsi="Times New Roman" w:cs="Times New Roman"/>
                <w:color w:val="000000"/>
                <w:sz w:val="24"/>
                <w:szCs w:val="24"/>
                <w:lang w:val="de-DE" w:eastAsia="fr-FR"/>
              </w:rPr>
              <w:t xml:space="preserve"> </w:t>
            </w:r>
            <w:proofErr w:type="spellStart"/>
            <w:r w:rsidRPr="007C694B">
              <w:rPr>
                <w:rFonts w:ascii="Times New Roman" w:eastAsia="Times New Roman" w:hAnsi="Times New Roman" w:cs="Times New Roman"/>
                <w:color w:val="000000"/>
                <w:sz w:val="24"/>
                <w:szCs w:val="24"/>
                <w:lang w:val="de-DE" w:eastAsia="fr-FR"/>
              </w:rPr>
              <w:t>freundii</w:t>
            </w:r>
            <w:proofErr w:type="spellEnd"/>
            <w:r w:rsidRPr="007C694B">
              <w:rPr>
                <w:rFonts w:ascii="Times New Roman" w:eastAsia="Times New Roman" w:hAnsi="Times New Roman" w:cs="Times New Roman"/>
                <w:color w:val="000000"/>
                <w:sz w:val="24"/>
                <w:szCs w:val="24"/>
                <w:lang w:val="de-DE" w:eastAsia="fr-FR"/>
              </w:rPr>
              <w:t xml:space="preserve"> *</w:t>
            </w:r>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de-DE" w:eastAsia="fr-FR"/>
              </w:rPr>
              <w:t>Enterobacter</w:t>
            </w:r>
            <w:proofErr w:type="spellEnd"/>
            <w:r w:rsidRPr="007C694B">
              <w:rPr>
                <w:rFonts w:ascii="Times New Roman" w:eastAsia="Times New Roman" w:hAnsi="Times New Roman" w:cs="Times New Roman"/>
                <w:color w:val="000000"/>
                <w:sz w:val="24"/>
                <w:szCs w:val="24"/>
                <w:lang w:val="de-DE" w:eastAsia="fr-FR"/>
              </w:rPr>
              <w:t xml:space="preserve"> aerogenes</w:t>
            </w:r>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val="de-DE" w:eastAsia="fr-FR"/>
              </w:rPr>
              <w:t>Enterobacter</w:t>
            </w:r>
            <w:proofErr w:type="spellEnd"/>
            <w:r w:rsidRPr="007C694B">
              <w:rPr>
                <w:rFonts w:ascii="Times New Roman" w:eastAsia="Times New Roman" w:hAnsi="Times New Roman" w:cs="Times New Roman"/>
                <w:color w:val="000000"/>
                <w:sz w:val="24"/>
                <w:szCs w:val="24"/>
                <w:lang w:val="de-DE" w:eastAsia="fr-FR"/>
              </w:rPr>
              <w:t xml:space="preserve"> </w:t>
            </w:r>
            <w:proofErr w:type="spellStart"/>
            <w:r w:rsidRPr="007C694B">
              <w:rPr>
                <w:rFonts w:ascii="Times New Roman" w:eastAsia="Times New Roman" w:hAnsi="Times New Roman" w:cs="Times New Roman"/>
                <w:color w:val="000000"/>
                <w:sz w:val="24"/>
                <w:szCs w:val="24"/>
                <w:lang w:val="de-DE" w:eastAsia="fr-FR"/>
              </w:rPr>
              <w:t>agglomerans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Enterobacter</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cloacae</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Escherichia coli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Morganella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morganii</w:t>
            </w:r>
            <w:proofErr w:type="spellEnd"/>
            <w:r w:rsidRPr="007C694B">
              <w:rPr>
                <w:rFonts w:ascii="Times New Roman" w:eastAsia="Times New Roman" w:hAnsi="Times New Roman" w:cs="Times New Roman"/>
                <w:color w:val="000000"/>
                <w:sz w:val="24"/>
                <w:szCs w:val="24"/>
                <w:lang w:eastAsia="fr-FR"/>
              </w:rPr>
              <w:t xml:space="preserve">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Proteus</w:t>
            </w:r>
            <w:proofErr w:type="spellEnd"/>
            <w:r w:rsidRPr="007C694B">
              <w:rPr>
                <w:rFonts w:ascii="Times New Roman" w:eastAsia="Times New Roman" w:hAnsi="Times New Roman" w:cs="Times New Roman"/>
                <w:color w:val="000000"/>
                <w:sz w:val="24"/>
                <w:szCs w:val="24"/>
                <w:lang w:eastAsia="fr-FR"/>
              </w:rPr>
              <w:t xml:space="preserve"> mirabilis *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Providencia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stuartii</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Pseudomonas</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aeruginosa</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Serratia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marcescens</w:t>
            </w:r>
            <w:proofErr w:type="spellEnd"/>
            <w:r w:rsidRPr="007C694B">
              <w:rPr>
                <w:rFonts w:ascii="Times New Roman" w:eastAsia="Times New Roman" w:hAnsi="Times New Roman" w:cs="Times New Roman"/>
                <w:color w:val="000000"/>
                <w:sz w:val="24"/>
                <w:szCs w:val="24"/>
                <w:lang w:eastAsia="fr-FR"/>
              </w:rPr>
              <w:t xml:space="preserve"> * </w:t>
            </w:r>
          </w:p>
        </w:tc>
      </w:tr>
      <w:tr w:rsidR="003E4465" w:rsidRPr="007C694B" w:rsidTr="00F06659">
        <w:trPr>
          <w:trHeight w:val="752"/>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Bactéries anaérobies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Peptostreptococcus</w:t>
            </w:r>
            <w:proofErr w:type="spellEnd"/>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413"/>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u w:val="single"/>
                <w:lang w:eastAsia="fr-FR"/>
              </w:rPr>
              <w:t>ESPECES NATURELLEMENT RESISTANTES</w:t>
            </w:r>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413"/>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Bactéries aérobies à gram positif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Enterococcus</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faecium</w:t>
            </w:r>
            <w:proofErr w:type="spellEnd"/>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413"/>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Bactéries aérobies à gram négatif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Burkholderia</w:t>
            </w:r>
            <w:proofErr w:type="spellEnd"/>
            <w:r w:rsidRPr="007C694B">
              <w:rPr>
                <w:rFonts w:ascii="Times New Roman" w:eastAsia="Times New Roman" w:hAnsi="Times New Roman" w:cs="Times New Roman"/>
                <w:color w:val="000000"/>
                <w:sz w:val="24"/>
                <w:szCs w:val="24"/>
                <w:lang w:eastAsia="fr-FR"/>
              </w:rPr>
              <w:t xml:space="preserve"> </w:t>
            </w:r>
            <w:proofErr w:type="spellStart"/>
            <w:r w:rsidRPr="007C694B">
              <w:rPr>
                <w:rFonts w:ascii="Times New Roman" w:eastAsia="Times New Roman" w:hAnsi="Times New Roman" w:cs="Times New Roman"/>
                <w:color w:val="000000"/>
                <w:sz w:val="24"/>
                <w:szCs w:val="24"/>
                <w:lang w:eastAsia="fr-FR"/>
              </w:rPr>
              <w:t>cepacia</w:t>
            </w:r>
            <w:proofErr w:type="spellEnd"/>
            <w:r w:rsidRPr="007C694B">
              <w:rPr>
                <w:rFonts w:ascii="Times New Roman" w:eastAsia="Times New Roman" w:hAnsi="Times New Roman" w:cs="Times New Roman"/>
                <w:color w:val="000000"/>
                <w:sz w:val="24"/>
                <w:szCs w:val="24"/>
                <w:lang w:eastAsia="fr-FR"/>
              </w:rPr>
              <w:t xml:space="preserve"> </w:t>
            </w:r>
          </w:p>
        </w:tc>
      </w:tr>
      <w:tr w:rsidR="003E4465" w:rsidRPr="007C694B" w:rsidTr="00F06659">
        <w:trPr>
          <w:trHeight w:val="413"/>
          <w:tblCellSpacing w:w="0" w:type="dxa"/>
          <w:jc w:val="center"/>
        </w:trPr>
        <w:tc>
          <w:tcPr>
            <w:tcW w:w="7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Bactéries anaérobies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vanish/>
                <w:color w:val="000000"/>
                <w:sz w:val="24"/>
                <w:szCs w:val="24"/>
                <w:lang w:eastAsia="fr-FR"/>
              </w:rPr>
              <w:t>Bacteroides</w:t>
            </w:r>
            <w:proofErr w:type="spellStart"/>
            <w:r w:rsidRPr="007C694B">
              <w:rPr>
                <w:rFonts w:ascii="Times New Roman" w:eastAsia="Times New Roman" w:hAnsi="Times New Roman" w:cs="Times New Roman"/>
                <w:color w:val="000000"/>
                <w:sz w:val="24"/>
                <w:szCs w:val="24"/>
                <w:lang w:eastAsia="fr-FR"/>
              </w:rPr>
              <w:t>Bacteroides</w:t>
            </w:r>
            <w:proofErr w:type="spellEnd"/>
            <w:r w:rsidRPr="007C694B">
              <w:rPr>
                <w:rFonts w:ascii="Times New Roman" w:eastAsia="Times New Roman" w:hAnsi="Times New Roman" w:cs="Times New Roman"/>
                <w:color w:val="000000"/>
                <w:sz w:val="24"/>
                <w:szCs w:val="24"/>
                <w:lang w:eastAsia="fr-FR"/>
              </w:rPr>
              <w:t xml:space="preserve"> </w:t>
            </w:r>
          </w:p>
          <w:p w:rsidR="003E4465" w:rsidRPr="007C694B" w:rsidRDefault="003E4465" w:rsidP="00F06659">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7C694B">
              <w:rPr>
                <w:rFonts w:ascii="Times New Roman" w:eastAsia="Times New Roman" w:hAnsi="Times New Roman" w:cs="Times New Roman"/>
                <w:color w:val="000000"/>
                <w:sz w:val="24"/>
                <w:szCs w:val="24"/>
                <w:lang w:eastAsia="fr-FR"/>
              </w:rPr>
              <w:t>Clostridium</w:t>
            </w:r>
            <w:proofErr w:type="spellEnd"/>
            <w:r w:rsidRPr="007C694B">
              <w:rPr>
                <w:rFonts w:ascii="Times New Roman" w:eastAsia="Times New Roman" w:hAnsi="Times New Roman" w:cs="Times New Roman"/>
                <w:color w:val="000000"/>
                <w:sz w:val="24"/>
                <w:szCs w:val="24"/>
                <w:lang w:eastAsia="fr-FR"/>
              </w:rPr>
              <w:t xml:space="preserve"> difficile </w:t>
            </w:r>
          </w:p>
        </w:tc>
      </w:tr>
    </w:tbl>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L'efficacité clinique a été démontrée pour des isolats sensibles dans les indications cliniques approuvées.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 : Sensibilité intermédiaire naturelle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Autres informations </w:t>
      </w:r>
    </w:p>
    <w:p w:rsidR="003E4465" w:rsidRPr="007C694B" w:rsidRDefault="003E4465" w:rsidP="003E44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7C694B">
        <w:rPr>
          <w:rFonts w:ascii="Times New Roman" w:eastAsia="Times New Roman" w:hAnsi="Times New Roman" w:cs="Times New Roman"/>
          <w:color w:val="000000"/>
          <w:sz w:val="24"/>
          <w:szCs w:val="24"/>
          <w:lang w:eastAsia="fr-FR"/>
        </w:rPr>
        <w:t xml:space="preserve">Les infections nosocomiales dues à </w:t>
      </w:r>
      <w:r w:rsidRPr="007C694B">
        <w:rPr>
          <w:rFonts w:ascii="Times New Roman" w:eastAsia="Times New Roman" w:hAnsi="Times New Roman" w:cs="Times New Roman"/>
          <w:i/>
          <w:iCs/>
          <w:color w:val="000000"/>
          <w:sz w:val="24"/>
          <w:szCs w:val="24"/>
          <w:lang w:eastAsia="fr-FR"/>
        </w:rPr>
        <w:t xml:space="preserve">P. </w:t>
      </w:r>
      <w:proofErr w:type="spellStart"/>
      <w:r w:rsidRPr="007C694B">
        <w:rPr>
          <w:rFonts w:ascii="Times New Roman" w:eastAsia="Times New Roman" w:hAnsi="Times New Roman" w:cs="Times New Roman"/>
          <w:i/>
          <w:iCs/>
          <w:color w:val="000000"/>
          <w:sz w:val="24"/>
          <w:szCs w:val="24"/>
          <w:lang w:eastAsia="fr-FR"/>
        </w:rPr>
        <w:t>aeruginosa</w:t>
      </w:r>
      <w:proofErr w:type="spellEnd"/>
      <w:r w:rsidRPr="007C694B">
        <w:rPr>
          <w:rFonts w:ascii="Times New Roman" w:eastAsia="Times New Roman" w:hAnsi="Times New Roman" w:cs="Times New Roman"/>
          <w:color w:val="000000"/>
          <w:sz w:val="24"/>
          <w:szCs w:val="24"/>
          <w:lang w:eastAsia="fr-FR"/>
        </w:rPr>
        <w:t xml:space="preserve"> peuvent nécessiter un traitement combiné.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08"/>
  <w:hyphenationZone w:val="425"/>
  <w:characterSpacingControl w:val="doNotCompress"/>
  <w:compat/>
  <w:rsids>
    <w:rsidRoot w:val="003E4465"/>
    <w:rsid w:val="00017B31"/>
    <w:rsid w:val="0006330F"/>
    <w:rsid w:val="0009769E"/>
    <w:rsid w:val="000C4178"/>
    <w:rsid w:val="00120A2B"/>
    <w:rsid w:val="001931B1"/>
    <w:rsid w:val="001A53D5"/>
    <w:rsid w:val="00282113"/>
    <w:rsid w:val="003164DC"/>
    <w:rsid w:val="00370323"/>
    <w:rsid w:val="003E4465"/>
    <w:rsid w:val="004276C2"/>
    <w:rsid w:val="004771A7"/>
    <w:rsid w:val="004E7AC3"/>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4343</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2013-02-11T01:21:00Z</dcterms:created>
  <dcterms:modified xsi:type="dcterms:W3CDTF">2013-02-11T01:22:00Z</dcterms:modified>
</cp:coreProperties>
</file>